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E7" w:rsidRDefault="006A0079">
      <w:pPr>
        <w:pStyle w:val="1"/>
        <w:jc w:val="center"/>
        <w:rPr>
          <w:rFonts w:hint="eastAsia"/>
        </w:rPr>
      </w:pPr>
      <w:r>
        <w:t xml:space="preserve">Как использовать </w:t>
      </w:r>
      <w:proofErr w:type="spellStart"/>
      <w:r>
        <w:t>вебинар</w:t>
      </w:r>
      <w:proofErr w:type="spellEnd"/>
      <w:r>
        <w:t xml:space="preserve"> в роли участника</w:t>
      </w:r>
    </w:p>
    <w:p w:rsidR="002B7777" w:rsidRPr="002B7777" w:rsidRDefault="002B7777" w:rsidP="002B7777">
      <w:pPr>
        <w:pStyle w:val="a1"/>
        <w:rPr>
          <w:rFonts w:hint="eastAsia"/>
        </w:rPr>
      </w:pPr>
    </w:p>
    <w:p w:rsidR="007937EC" w:rsidRDefault="002B7777" w:rsidP="002B7777">
      <w:pPr>
        <w:pStyle w:val="aa"/>
        <w:keepLines/>
        <w:numPr>
          <w:ilvl w:val="0"/>
          <w:numId w:val="3"/>
        </w:numPr>
        <w:spacing w:before="100" w:beforeAutospacing="1" w:after="100" w:afterAutospacing="1" w:line="435" w:lineRule="atLeast"/>
        <w:ind w:left="284"/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</w:pPr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 xml:space="preserve">Переходим на </w:t>
      </w:r>
      <w:proofErr w:type="spellStart"/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>вебинарную</w:t>
      </w:r>
      <w:proofErr w:type="spellEnd"/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 xml:space="preserve"> площадку по ссылке</w:t>
      </w:r>
      <w:r w:rsidR="007937EC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>, которая должна быть выслана в письме-приглашении.</w:t>
      </w:r>
    </w:p>
    <w:p w:rsidR="002B7777" w:rsidRPr="002B7777" w:rsidRDefault="002B7777" w:rsidP="002B7777">
      <w:pPr>
        <w:pStyle w:val="aa"/>
        <w:keepLines/>
        <w:numPr>
          <w:ilvl w:val="0"/>
          <w:numId w:val="3"/>
        </w:numPr>
        <w:spacing w:before="100" w:beforeAutospacing="1" w:after="100" w:afterAutospacing="1" w:line="435" w:lineRule="atLeast"/>
        <w:ind w:left="284"/>
        <w:rPr>
          <w:rFonts w:ascii="Times New Roman" w:eastAsia="Times New Roman" w:hAnsi="Times New Roman" w:cs="Times New Roman"/>
          <w:color w:val="323C41"/>
          <w:sz w:val="28"/>
          <w:szCs w:val="28"/>
          <w:lang w:eastAsia="ru-RU"/>
        </w:rPr>
      </w:pPr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 xml:space="preserve">Если не вводили свои учетные данные, то откроется форма </w:t>
      </w:r>
      <w:r w:rsidR="005E6133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>для авторизации</w:t>
      </w:r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>. Введите в ней свой логин и пароль и нажимаем кнопку «Вход». Если забыли логин или пароль, то переходите по ссылке «Забыли логин или пароль».</w:t>
      </w:r>
      <w:r w:rsidR="00B40DB1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 xml:space="preserve"> Если вы не регистрировались на платформе, то необходимо это сделать пройдя по кнопке «Регистрация».</w:t>
      </w:r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br/>
      </w:r>
      <w:r w:rsidRPr="002B777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F1BAAC" wp14:editId="5392FFD2">
            <wp:extent cx="2724150" cy="1473496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739030" cy="148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777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6D02FD" wp14:editId="76188CBB">
            <wp:extent cx="3162300" cy="2574100"/>
            <wp:effectExtent l="0" t="0" r="0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3181069" cy="258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777" w:rsidRPr="002B7777" w:rsidRDefault="002B7777" w:rsidP="002B7777">
      <w:pPr>
        <w:pStyle w:val="aa"/>
        <w:numPr>
          <w:ilvl w:val="0"/>
          <w:numId w:val="3"/>
        </w:numPr>
        <w:spacing w:before="100" w:beforeAutospacing="1" w:after="100" w:afterAutospacing="1" w:line="435" w:lineRule="atLeast"/>
        <w:ind w:left="284"/>
        <w:jc w:val="both"/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</w:pPr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 xml:space="preserve">Готово! Если все сделано верно, то Вы </w:t>
      </w:r>
      <w:r w:rsidR="006A0079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 xml:space="preserve">перейдете в </w:t>
      </w:r>
      <w:proofErr w:type="spellStart"/>
      <w:r w:rsidR="006A0079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>вебинарную</w:t>
      </w:r>
      <w:proofErr w:type="spellEnd"/>
      <w:r w:rsidR="006A0079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 xml:space="preserve"> площадку</w:t>
      </w:r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 xml:space="preserve">. Нажмите на кнопку «Присоединиться к </w:t>
      </w:r>
      <w:proofErr w:type="spellStart"/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>вебинару</w:t>
      </w:r>
      <w:proofErr w:type="spellEnd"/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 xml:space="preserve">» для входа в </w:t>
      </w:r>
      <w:proofErr w:type="spellStart"/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>вебинар</w:t>
      </w:r>
      <w:proofErr w:type="spellEnd"/>
      <w:r w:rsidRPr="002B7777">
        <w:rPr>
          <w:rFonts w:ascii="Times New Roman" w:eastAsia="Times New Roman" w:hAnsi="Times New Roman" w:cs="Times New Roman"/>
          <w:bCs/>
          <w:color w:val="323C41"/>
          <w:sz w:val="28"/>
          <w:szCs w:val="28"/>
          <w:lang w:eastAsia="ru-RU"/>
        </w:rPr>
        <w:t>.</w:t>
      </w: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59715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4. После подключения вы увидите стандартное уведомление, уточняющее, каким образом вы планируете участвовать в </w:t>
      </w:r>
      <w:proofErr w:type="spellStart"/>
      <w:r>
        <w:rPr>
          <w:rFonts w:ascii="Times New Roman" w:hAnsi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/>
          <w:sz w:val="28"/>
          <w:szCs w:val="28"/>
        </w:rPr>
        <w:t>: с микрофоном, или в режиме «только слушать». (Если в дальнейшем потребуется голосовое общение, микрофон можно будет подключить в любой момент времени п. 13)</w:t>
      </w:r>
    </w:p>
    <w:p w:rsidR="007D02E7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1156335</wp:posOffset>
            </wp:positionH>
            <wp:positionV relativeFrom="paragraph">
              <wp:posOffset>0</wp:posOffset>
            </wp:positionV>
            <wp:extent cx="3410585" cy="1549400"/>
            <wp:effectExtent l="0" t="0" r="0" b="0"/>
            <wp:wrapTopAndBottom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02E7" w:rsidRPr="006A0079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5. При участии с микрофоном, система запросит у вас разрешение на использование микрофона, нажмите на кнопку «Разрешаю» (Обращаем внимание, что подключение с микрофоном возможно только в том случае, если ваше рабочее место физически оснащено микрофоном).</w:t>
      </w:r>
    </w:p>
    <w:p w:rsidR="007D02E7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38675" cy="1981200"/>
            <wp:effectExtent l="0" t="0" r="0" b="0"/>
            <wp:wrapSquare wrapText="largest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6A0079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A0079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Дальше система перейдет к тесту звука, при правильной настройке и предоставлении разрешений браузеру, вы должны будете услышать свой голос. Если вы его услышали, выбирайте пункт «Да» </w:t>
      </w: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733800" cy="1552575"/>
            <wp:effectExtent l="0" t="0" r="0" b="0"/>
            <wp:wrapSquare wrapText="largest"/>
            <wp:docPr id="5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Вебинарная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площадка готова к использованию.</w:t>
      </w:r>
    </w:p>
    <w:p w:rsidR="007D02E7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77000" cy="3356610"/>
            <wp:effectExtent l="0" t="0" r="0" b="0"/>
            <wp:wrapSquare wrapText="largest"/>
            <wp:docPr id="6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Во время проведения </w:t>
      </w: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/>
          <w:sz w:val="28"/>
          <w:szCs w:val="28"/>
        </w:rPr>
        <w:t xml:space="preserve"> у вас есть возможность изменить статус участника (левой клавишей мыши кликнуть по своей ФИО в списке участников)</w:t>
      </w: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33975" cy="2611755"/>
            <wp:effectExtent l="0" t="0" r="0" b="0"/>
            <wp:wrapTopAndBottom/>
            <wp:docPr id="7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Вы можете использовать общий чат для обсуждения вопроса или для вопросов ведущему, также у вас есть возможность обратиться к любому участнику через приватный чат. Для того, чтобы задать вопрос в общем чате, в левом меню «Сообщения» выбираем «общий чат», пишем вопрос в поле «сообщение» (3), отправляем сообщение (4). Для того, чтобы задать личный вопрос собеседнику, выбираем в меню пользователи нужного собеседника (1), нажимаем левой клавишей мыши, выбираем «начать приватный чат», пишем сообщение (3), отправляем его(4). Все созданные приватные чаты будут отражены в списке чатов (5), и вы всегда сможете к ним перейти.</w:t>
      </w:r>
    </w:p>
    <w:p w:rsidR="007D02E7" w:rsidRDefault="007D02E7">
      <w:pPr>
        <w:spacing w:line="360" w:lineRule="auto"/>
        <w:rPr>
          <w:rFonts w:hint="eastAsia"/>
        </w:rPr>
      </w:pP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-56515</wp:posOffset>
            </wp:positionV>
            <wp:extent cx="4486275" cy="5334000"/>
            <wp:effectExtent l="0" t="0" r="0" b="0"/>
            <wp:wrapSquare wrapText="largest"/>
            <wp:docPr id="8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7D02E7" w:rsidRDefault="007D02E7">
      <w:pPr>
        <w:spacing w:line="360" w:lineRule="auto"/>
        <w:rPr>
          <w:rFonts w:hint="eastAsia"/>
        </w:rPr>
      </w:pPr>
    </w:p>
    <w:p w:rsidR="006A0079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A0079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A0079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Для того, чтобы включить камеру, используем кнопку с соответствующ</w:t>
      </w:r>
      <w:r w:rsidR="008249A2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49A2">
        <w:rPr>
          <w:rFonts w:ascii="Times New Roman" w:hAnsi="Times New Roman"/>
          <w:sz w:val="28"/>
          <w:szCs w:val="28"/>
        </w:rPr>
        <w:t>значком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рабочее место должно быть оборудовано камерой)</w:t>
      </w:r>
    </w:p>
    <w:p w:rsidR="007D02E7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1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77000" cy="3338195"/>
            <wp:effectExtent l="0" t="0" r="0" b="0"/>
            <wp:wrapSquare wrapText="largest"/>
            <wp:docPr id="9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Пожалуйста не используйте камеру без необходимости, и при запуске камеры, выбирайте в настройках самое минимальное качество.</w:t>
      </w:r>
    </w:p>
    <w:p w:rsidR="007D02E7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11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77000" cy="3164205"/>
            <wp:effectExtent l="0" t="0" r="0" b="0"/>
            <wp:wrapSquare wrapText="largest"/>
            <wp:docPr id="10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Для прекращения трансляции веб-камеры нужно нажать на ту же кнопку, что и для начала трансляции веб-камеры.</w:t>
      </w:r>
    </w:p>
    <w:p w:rsidR="007D02E7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77000" cy="501015"/>
            <wp:effectExtent l="0" t="0" r="0" b="0"/>
            <wp:wrapSquare wrapText="largest"/>
            <wp:docPr id="11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Подключение к </w:t>
      </w:r>
      <w:proofErr w:type="spellStart"/>
      <w:r>
        <w:rPr>
          <w:rFonts w:ascii="Times New Roman" w:hAnsi="Times New Roman"/>
          <w:sz w:val="28"/>
          <w:szCs w:val="28"/>
        </w:rPr>
        <w:t>вебинару</w:t>
      </w:r>
      <w:proofErr w:type="spellEnd"/>
      <w:r>
        <w:rPr>
          <w:rFonts w:ascii="Times New Roman" w:hAnsi="Times New Roman"/>
          <w:sz w:val="28"/>
          <w:szCs w:val="28"/>
        </w:rPr>
        <w:t xml:space="preserve"> с использованием микрофона, если в пункте 4 вы выбрали вариант «только слушать». В панели инструментов внизу страницы отключитесь от аудио-конференции.</w:t>
      </w:r>
    </w:p>
    <w:p w:rsidR="007D02E7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1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24450" cy="828675"/>
            <wp:effectExtent l="0" t="0" r="0" b="0"/>
            <wp:wrapTopAndBottom/>
            <wp:docPr id="12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0079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D02E7" w:rsidRPr="002B7777" w:rsidRDefault="006A00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Инициализируйте новое подключение к аудио-конференции текущего </w:t>
      </w: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/>
          <w:sz w:val="28"/>
          <w:szCs w:val="28"/>
        </w:rPr>
        <w:t>, дальнейшие действия описаны с пункта 5 текущей инструкции.</w:t>
      </w:r>
    </w:p>
    <w:p w:rsidR="007D02E7" w:rsidRDefault="006A0079">
      <w:pPr>
        <w:spacing w:line="360" w:lineRule="auto"/>
        <w:rPr>
          <w:rFonts w:hint="eastAsia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1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24525" cy="762000"/>
            <wp:effectExtent l="0" t="0" r="0" b="0"/>
            <wp:wrapSquare wrapText="largest"/>
            <wp:docPr id="13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02E7">
      <w:pgSz w:w="11906" w:h="16838"/>
      <w:pgMar w:top="525" w:right="572" w:bottom="443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57BE8"/>
    <w:multiLevelType w:val="multilevel"/>
    <w:tmpl w:val="7256EA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A62166"/>
    <w:multiLevelType w:val="hybridMultilevel"/>
    <w:tmpl w:val="F2263916"/>
    <w:lvl w:ilvl="0" w:tplc="8A4AA098">
      <w:start w:val="1"/>
      <w:numFmt w:val="decimal"/>
      <w:lvlText w:val="%1."/>
      <w:lvlJc w:val="left"/>
      <w:pPr>
        <w:ind w:left="720" w:hanging="360"/>
      </w:pPr>
    </w:lvl>
    <w:lvl w:ilvl="1" w:tplc="86A01B80">
      <w:start w:val="1"/>
      <w:numFmt w:val="lowerLetter"/>
      <w:lvlText w:val="%2."/>
      <w:lvlJc w:val="left"/>
      <w:pPr>
        <w:ind w:left="1440" w:hanging="360"/>
      </w:pPr>
    </w:lvl>
    <w:lvl w:ilvl="2" w:tplc="4A200A14">
      <w:start w:val="1"/>
      <w:numFmt w:val="lowerRoman"/>
      <w:lvlText w:val="%3."/>
      <w:lvlJc w:val="right"/>
      <w:pPr>
        <w:ind w:left="2160" w:hanging="180"/>
      </w:pPr>
    </w:lvl>
    <w:lvl w:ilvl="3" w:tplc="E722AA62">
      <w:start w:val="1"/>
      <w:numFmt w:val="decimal"/>
      <w:lvlText w:val="%4."/>
      <w:lvlJc w:val="left"/>
      <w:pPr>
        <w:ind w:left="2880" w:hanging="360"/>
      </w:pPr>
    </w:lvl>
    <w:lvl w:ilvl="4" w:tplc="08AA9B42">
      <w:start w:val="1"/>
      <w:numFmt w:val="lowerLetter"/>
      <w:lvlText w:val="%5."/>
      <w:lvlJc w:val="left"/>
      <w:pPr>
        <w:ind w:left="3600" w:hanging="360"/>
      </w:pPr>
    </w:lvl>
    <w:lvl w:ilvl="5" w:tplc="C5C826E6">
      <w:start w:val="1"/>
      <w:numFmt w:val="lowerRoman"/>
      <w:lvlText w:val="%6."/>
      <w:lvlJc w:val="right"/>
      <w:pPr>
        <w:ind w:left="4320" w:hanging="180"/>
      </w:pPr>
    </w:lvl>
    <w:lvl w:ilvl="6" w:tplc="98FA1D8C">
      <w:start w:val="1"/>
      <w:numFmt w:val="decimal"/>
      <w:lvlText w:val="%7."/>
      <w:lvlJc w:val="left"/>
      <w:pPr>
        <w:ind w:left="5040" w:hanging="360"/>
      </w:pPr>
    </w:lvl>
    <w:lvl w:ilvl="7" w:tplc="C7A81ABC">
      <w:start w:val="1"/>
      <w:numFmt w:val="lowerLetter"/>
      <w:lvlText w:val="%8."/>
      <w:lvlJc w:val="left"/>
      <w:pPr>
        <w:ind w:left="5760" w:hanging="360"/>
      </w:pPr>
    </w:lvl>
    <w:lvl w:ilvl="8" w:tplc="0DF0F0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B1D3B"/>
    <w:multiLevelType w:val="hybridMultilevel"/>
    <w:tmpl w:val="2D0A3E10"/>
    <w:lvl w:ilvl="0" w:tplc="43406A08">
      <w:start w:val="1"/>
      <w:numFmt w:val="decimal"/>
      <w:lvlText w:val="%1."/>
      <w:lvlJc w:val="left"/>
      <w:pPr>
        <w:ind w:left="720" w:hanging="360"/>
      </w:pPr>
    </w:lvl>
    <w:lvl w:ilvl="1" w:tplc="0F521A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643FEE">
      <w:start w:val="1"/>
      <w:numFmt w:val="lowerRoman"/>
      <w:lvlText w:val="%3."/>
      <w:lvlJc w:val="right"/>
      <w:pPr>
        <w:ind w:left="2160" w:hanging="180"/>
      </w:pPr>
    </w:lvl>
    <w:lvl w:ilvl="3" w:tplc="E25EE5C8">
      <w:start w:val="1"/>
      <w:numFmt w:val="decimal"/>
      <w:lvlText w:val="%4."/>
      <w:lvlJc w:val="left"/>
      <w:pPr>
        <w:ind w:left="2880" w:hanging="360"/>
      </w:pPr>
    </w:lvl>
    <w:lvl w:ilvl="4" w:tplc="DDE67D28">
      <w:start w:val="1"/>
      <w:numFmt w:val="lowerLetter"/>
      <w:lvlText w:val="%5."/>
      <w:lvlJc w:val="left"/>
      <w:pPr>
        <w:ind w:left="3600" w:hanging="360"/>
      </w:pPr>
    </w:lvl>
    <w:lvl w:ilvl="5" w:tplc="D0CE030A">
      <w:start w:val="1"/>
      <w:numFmt w:val="lowerRoman"/>
      <w:lvlText w:val="%6."/>
      <w:lvlJc w:val="right"/>
      <w:pPr>
        <w:ind w:left="4320" w:hanging="180"/>
      </w:pPr>
    </w:lvl>
    <w:lvl w:ilvl="6" w:tplc="DE1EB99A">
      <w:start w:val="1"/>
      <w:numFmt w:val="decimal"/>
      <w:lvlText w:val="%7."/>
      <w:lvlJc w:val="left"/>
      <w:pPr>
        <w:ind w:left="5040" w:hanging="360"/>
      </w:pPr>
    </w:lvl>
    <w:lvl w:ilvl="7" w:tplc="C3B6BF74">
      <w:start w:val="1"/>
      <w:numFmt w:val="lowerLetter"/>
      <w:lvlText w:val="%8."/>
      <w:lvlJc w:val="left"/>
      <w:pPr>
        <w:ind w:left="5760" w:hanging="360"/>
      </w:pPr>
    </w:lvl>
    <w:lvl w:ilvl="8" w:tplc="7A3821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E7"/>
    <w:rsid w:val="002B7777"/>
    <w:rsid w:val="00303142"/>
    <w:rsid w:val="005E6133"/>
    <w:rsid w:val="006A0079"/>
    <w:rsid w:val="007937EC"/>
    <w:rsid w:val="007D02E7"/>
    <w:rsid w:val="008249A2"/>
    <w:rsid w:val="00B4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CFB2"/>
  <w15:docId w15:val="{D50C5010-1381-45A7-BD64-7D9EADEC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character" w:styleId="a9">
    <w:name w:val="Hyperlink"/>
    <w:basedOn w:val="a2"/>
    <w:uiPriority w:val="99"/>
    <w:unhideWhenUsed/>
    <w:rsid w:val="002B777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7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ПГТУ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Мунтян Михаил</cp:lastModifiedBy>
  <cp:revision>3</cp:revision>
  <dcterms:created xsi:type="dcterms:W3CDTF">2020-07-22T12:28:00Z</dcterms:created>
  <dcterms:modified xsi:type="dcterms:W3CDTF">2020-07-22T12:33:00Z</dcterms:modified>
  <dc:language>ru-RU</dc:language>
</cp:coreProperties>
</file>